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B9" w:rsidRPr="00C129B9" w:rsidRDefault="00C129B9" w:rsidP="00C129B9">
      <w:pPr>
        <w:jc w:val="both"/>
        <w:rPr>
          <w:b/>
          <w:sz w:val="28"/>
        </w:rPr>
      </w:pPr>
      <w:r w:rsidRPr="00C129B9">
        <w:rPr>
          <w:rFonts w:ascii="Arial" w:hAnsi="Arial" w:cs="Arial"/>
          <w:b/>
          <w:sz w:val="24"/>
        </w:rPr>
        <w:t>Quadro 1: Setor público e privado no financiamento da cultura. Fonte: Reis (2006, p.152)</w:t>
      </w:r>
    </w:p>
    <w:tbl>
      <w:tblPr>
        <w:tblpPr w:leftFromText="141" w:rightFromText="141" w:vertAnchor="text" w:horzAnchor="margin" w:tblpY="108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20"/>
        <w:gridCol w:w="3557"/>
      </w:tblGrid>
      <w:tr w:rsidR="00C129B9" w:rsidRPr="008C7D66" w:rsidTr="00A13A36">
        <w:trPr>
          <w:gridBefore w:val="1"/>
          <w:wBefore w:w="1771" w:type="dxa"/>
          <w:trHeight w:val="448"/>
        </w:trPr>
        <w:tc>
          <w:tcPr>
            <w:tcW w:w="3520" w:type="dxa"/>
            <w:shd w:val="clear" w:color="auto" w:fill="auto"/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7D66">
              <w:rPr>
                <w:rFonts w:ascii="Arial" w:hAnsi="Arial" w:cs="Arial"/>
                <w:b/>
                <w:sz w:val="24"/>
                <w:szCs w:val="24"/>
              </w:rPr>
              <w:t>Setor Público</w:t>
            </w:r>
          </w:p>
        </w:tc>
        <w:tc>
          <w:tcPr>
            <w:tcW w:w="3557" w:type="dxa"/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7D66">
              <w:rPr>
                <w:rFonts w:ascii="Arial" w:hAnsi="Arial" w:cs="Arial"/>
                <w:b/>
                <w:iCs/>
                <w:sz w:val="24"/>
                <w:szCs w:val="24"/>
              </w:rPr>
              <w:t>Setor privado</w:t>
            </w:r>
          </w:p>
        </w:tc>
      </w:tr>
      <w:tr w:rsidR="00C129B9" w:rsidRPr="008C7D66" w:rsidTr="00A13A36">
        <w:trPr>
          <w:trHeight w:val="712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  <w:b/>
                <w:iCs/>
              </w:rPr>
              <w:t xml:space="preserve">Motivação 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>Social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>Social ou pessoal (mecenato) comercial (patrocínio)</w:t>
            </w:r>
          </w:p>
        </w:tc>
      </w:tr>
      <w:tr w:rsidR="00C129B9" w:rsidRPr="008C7D66" w:rsidTr="00A13A36">
        <w:trPr>
          <w:trHeight w:val="1763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  <w:b/>
                <w:iCs/>
              </w:rPr>
              <w:t>Público-Alvo</w:t>
            </w:r>
          </w:p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>População em geral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 xml:space="preserve">Consumidores/clientes atuais, ou potenciais, fornecedores, funcionários, governo, formadores de opinião, jornalistas, comunidades, </w:t>
            </w:r>
            <w:proofErr w:type="spellStart"/>
            <w:r w:rsidRPr="008C7D66"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C129B9" w:rsidRPr="008C7D66" w:rsidTr="00A13A36">
        <w:trPr>
          <w:trHeight w:val="2418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  <w:b/>
                <w:iCs/>
              </w:rPr>
              <w:t xml:space="preserve">Objetivo 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 xml:space="preserve">Os estabelecidos na política cultural: democratização, diversidade, promoção da identidade nacional, </w:t>
            </w:r>
            <w:proofErr w:type="spellStart"/>
            <w:r w:rsidRPr="008C7D66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>Pessoais ou sociais (mecenato) ou estabelecidos na estratégia de comunicação: divulgação da marca, aprimoramento da imagem, endomarketing, promoção junto a segmentos, etc. (patrocínio).</w:t>
            </w:r>
          </w:p>
        </w:tc>
      </w:tr>
      <w:tr w:rsidR="00C129B9" w:rsidRPr="008C7D66" w:rsidTr="00A13A36">
        <w:trPr>
          <w:trHeight w:val="237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  <w:b/>
                <w:iCs/>
              </w:rPr>
              <w:t xml:space="preserve">Forma de mensuração dos resultados esperados 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>Eliminação das desigualdades de acesso à cultura, distribuição descentralizada dos projetos e instituições culturais, estudo de imagem do país, aquecimento da economia local, etc.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>Cobertura de mídia, levantamentos de conhecimento da marca, estudos de imagem, predisposição à compra, aprovação de projetos, etc.</w:t>
            </w:r>
          </w:p>
        </w:tc>
      </w:tr>
      <w:tr w:rsidR="00C129B9" w:rsidRPr="008C7D66" w:rsidTr="00A13A36">
        <w:trPr>
          <w:trHeight w:val="1437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  <w:b/>
                <w:iCs/>
              </w:rPr>
              <w:t xml:space="preserve">Articulação 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>Setores econômico, social, educacional, tecnológico, de relações exteriores, etc.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8C7D66" w:rsidRDefault="00C129B9" w:rsidP="00A13A36">
            <w:pPr>
              <w:jc w:val="both"/>
              <w:rPr>
                <w:rFonts w:ascii="Arial" w:hAnsi="Arial" w:cs="Arial"/>
                <w:b/>
                <w:iCs/>
              </w:rPr>
            </w:pPr>
            <w:r w:rsidRPr="008C7D66">
              <w:rPr>
                <w:rFonts w:ascii="Arial" w:hAnsi="Arial" w:cs="Arial"/>
              </w:rPr>
              <w:t>Com a comunidade (mecenato) ou com a estratégia de comunicação da empresa (patrocínio).</w:t>
            </w:r>
          </w:p>
        </w:tc>
      </w:tr>
    </w:tbl>
    <w:p w:rsidR="008B7A8E" w:rsidRDefault="008B7A8E"/>
    <w:p w:rsidR="00C129B9" w:rsidRDefault="00C129B9"/>
    <w:p w:rsidR="00FF0DCA" w:rsidRPr="00C129B9" w:rsidRDefault="00FF0DCA" w:rsidP="00FF0DCA">
      <w:r w:rsidRPr="00C129B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Quadro 2: Ações propostas a partir da Lei de Diretrizes Orçamentárias na função cultura, por ano e órgão gestor. Fonte: Anexos das Leis de Diretrizes Orçamentários – Prefeitura Municipal de Jaguarão – PMJ – 2004-2013. Elabora pelo autor.</w:t>
      </w:r>
    </w:p>
    <w:tbl>
      <w:tblPr>
        <w:tblW w:w="88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631"/>
        <w:gridCol w:w="1732"/>
        <w:gridCol w:w="1714"/>
      </w:tblGrid>
      <w:tr w:rsidR="00FF0DCA" w:rsidRPr="008C7D66" w:rsidTr="00CC7A19">
        <w:trPr>
          <w:trHeight w:val="414"/>
        </w:trPr>
        <w:tc>
          <w:tcPr>
            <w:tcW w:w="8840" w:type="dxa"/>
            <w:gridSpan w:val="4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b/>
                <w:color w:val="000000"/>
                <w:lang w:eastAsia="pt-BR"/>
              </w:rPr>
              <w:t>Lei de Diretrizes Orçamentárias - LDO</w:t>
            </w:r>
          </w:p>
        </w:tc>
      </w:tr>
      <w:tr w:rsidR="00FF0DCA" w:rsidRPr="008C7D66" w:rsidTr="00CC7A19">
        <w:trPr>
          <w:trHeight w:val="223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b/>
                <w:color w:val="000000"/>
                <w:lang w:eastAsia="pt-BR"/>
              </w:rPr>
              <w:t>Ano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b/>
                <w:color w:val="000000"/>
                <w:lang w:eastAsia="pt-BR"/>
              </w:rPr>
              <w:t>Ação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b/>
                <w:color w:val="000000"/>
                <w:lang w:eastAsia="pt-BR"/>
              </w:rPr>
              <w:t>Órgão Gestor (</w:t>
            </w:r>
            <w:proofErr w:type="spellStart"/>
            <w:r w:rsidRPr="008C7D66">
              <w:rPr>
                <w:rFonts w:ascii="Arial" w:eastAsia="Arial" w:hAnsi="Arial" w:cs="Arial"/>
                <w:b/>
                <w:color w:val="000000"/>
                <w:lang w:eastAsia="pt-BR"/>
              </w:rPr>
              <w:t>Sub-função</w:t>
            </w:r>
            <w:proofErr w:type="spellEnd"/>
            <w:r w:rsidRPr="008C7D66">
              <w:rPr>
                <w:rFonts w:ascii="Arial" w:eastAsia="Arial" w:hAnsi="Arial" w:cs="Arial"/>
                <w:b/>
                <w:color w:val="000000"/>
                <w:lang w:eastAsia="pt-BR"/>
              </w:rPr>
              <w:t>)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    Função</w:t>
            </w:r>
          </w:p>
        </w:tc>
      </w:tr>
      <w:tr w:rsidR="00FF0DCA" w:rsidRPr="008C7D66" w:rsidTr="00CC7A19">
        <w:trPr>
          <w:trHeight w:val="553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lastRenderedPageBreak/>
              <w:t>22004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Patrimônio Histórico, Artístico e Arqueológico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Secretária de Industria, Comércio e Turismo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Cultura</w:t>
            </w:r>
          </w:p>
          <w:p w:rsidR="00FF0DCA" w:rsidRPr="008C7D66" w:rsidRDefault="00FF0DCA" w:rsidP="00CC7A1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F0DCA" w:rsidRPr="008C7D66" w:rsidTr="00CC7A19">
        <w:trPr>
          <w:trHeight w:val="1228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22005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Patrimônio, Histórico Artístico e Arqueológico, Valorização da Cultura Gaúcha, Semana de Jaguarão, Carnaval e Natal Luz, Ass. Artesão de Jaguarão, Festival de Música Nativista, </w:t>
            </w:r>
            <w:proofErr w:type="spellStart"/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Motofest</w:t>
            </w:r>
            <w:proofErr w:type="spellEnd"/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, Pórtico para os turistas, Urbanização rua Uruguai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Secretária de Industria, Comércio e Turismo – Casa de Cultura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Cultura</w:t>
            </w:r>
          </w:p>
        </w:tc>
      </w:tr>
      <w:tr w:rsidR="00FF0DCA" w:rsidRPr="008C7D66" w:rsidTr="00CC7A19">
        <w:trPr>
          <w:trHeight w:val="1556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22006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Manter em funcionamento as dependências do Mercado Público, Reforma e manutenção do prédio da casa de cultura, Promoção de Fóruns de Turismo, Confecção de material divulgação do Município, Vias públicas, Festival nativista, </w:t>
            </w:r>
            <w:proofErr w:type="spellStart"/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Motofest</w:t>
            </w:r>
            <w:proofErr w:type="spellEnd"/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, Natal Luz, Carnaval, Manutenção do Teatro Esperança,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Secretária de Industria, Comércio e Turismo – Casa de Cultura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       Cultura</w:t>
            </w:r>
          </w:p>
        </w:tc>
      </w:tr>
      <w:tr w:rsidR="00FF0DCA" w:rsidRPr="008C7D66" w:rsidTr="00CC7A19">
        <w:trPr>
          <w:trHeight w:val="1176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22007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Aquisição de material, Manutenção Mercado Público, Reativação do artesanato local, Manutenção da Casa de Cultura, Promoção de Fóruns de Turismo, Urbanização, Festival nativista,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Secretária de Industria, Comércio e Turismo – Casa de Cultura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Cultura</w:t>
            </w:r>
          </w:p>
        </w:tc>
      </w:tr>
      <w:tr w:rsidR="00FF0DCA" w:rsidRPr="008C7D66" w:rsidTr="00CC7A19">
        <w:trPr>
          <w:trHeight w:val="1297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22008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Aquisição de material, Promoção do Turismo, </w:t>
            </w:r>
            <w:proofErr w:type="spellStart"/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Motofest</w:t>
            </w:r>
            <w:proofErr w:type="spellEnd"/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, Garota Verão, Semana do Turismo, Aniversário de Jaguarão, Natal Luz, Carnaval, atividades do calendário de eventos Manutenção do Teatro Esperança.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Secretária de Industria, Comércio e Turismo – Casa de Cultura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Cultura</w:t>
            </w:r>
          </w:p>
          <w:p w:rsidR="00FF0DCA" w:rsidRPr="008C7D66" w:rsidRDefault="00FF0DCA" w:rsidP="00CC7A19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F0DCA" w:rsidRPr="008C7D66" w:rsidTr="00CC7A19">
        <w:trPr>
          <w:trHeight w:val="2076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22009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Desenvolvimento no Turismo, Manutenção do Mercado Público, Restauro Casa de Cultura, Valorização do Patrimônio Histórico Cultural, Eventos artísticos-culturais, Manutenção da Banda e Coral Municipal, Promoção cultura nos bairros, Implantação de Pontos de Cultura, Realização da Feira do </w:t>
            </w: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lastRenderedPageBreak/>
              <w:t xml:space="preserve">Livro do Mercosul, Natal Luz, Carnaval, Semana da consciência Negra, convenio com </w:t>
            </w:r>
            <w:proofErr w:type="spellStart"/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CTG’s</w:t>
            </w:r>
            <w:proofErr w:type="spellEnd"/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 e Piquetes tradicionalistas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lastRenderedPageBreak/>
              <w:t>Secretária de Cultura e Turismo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        Cultura</w:t>
            </w:r>
          </w:p>
        </w:tc>
      </w:tr>
      <w:tr w:rsidR="00FF0DCA" w:rsidRPr="008C7D66" w:rsidTr="00CC7A19">
        <w:trPr>
          <w:trHeight w:val="500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22010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Informações inexistentes 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- </w:t>
            </w:r>
          </w:p>
        </w:tc>
      </w:tr>
      <w:tr w:rsidR="00FF0DCA" w:rsidRPr="008C7D66" w:rsidTr="00CC7A19">
        <w:trPr>
          <w:trHeight w:val="2076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22011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Descentralização da Cultura, Valorização do Patrimônio Histórico Cultural, Eventos artísticos-culturais, Desenvolvimento do Turismo, Apoio administrativo ao desenvolvimento cultural e econômico e sustentável 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Secretária de Cultura e Turismo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Cultura</w:t>
            </w:r>
          </w:p>
        </w:tc>
      </w:tr>
      <w:tr w:rsidR="00FF0DCA" w:rsidRPr="008C7D66" w:rsidTr="00CC7A19">
        <w:trPr>
          <w:trHeight w:val="622"/>
        </w:trPr>
        <w:tc>
          <w:tcPr>
            <w:tcW w:w="763" w:type="dxa"/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22012</w:t>
            </w:r>
          </w:p>
        </w:tc>
        <w:tc>
          <w:tcPr>
            <w:tcW w:w="4631" w:type="dxa"/>
          </w:tcPr>
          <w:p w:rsidR="00FF0DCA" w:rsidRPr="008C7D66" w:rsidRDefault="00FF0DCA" w:rsidP="00CC7A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Desenvolvimento econômico e sustentável</w:t>
            </w:r>
          </w:p>
        </w:tc>
        <w:tc>
          <w:tcPr>
            <w:tcW w:w="1732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Secretária de Cultura e Turismo</w:t>
            </w:r>
          </w:p>
        </w:tc>
        <w:tc>
          <w:tcPr>
            <w:tcW w:w="1713" w:type="dxa"/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Cultura</w:t>
            </w:r>
          </w:p>
        </w:tc>
      </w:tr>
      <w:tr w:rsidR="00FF0DCA" w:rsidRPr="008C7D66" w:rsidTr="00CC7A19">
        <w:trPr>
          <w:trHeight w:val="1556"/>
        </w:trPr>
        <w:tc>
          <w:tcPr>
            <w:tcW w:w="763" w:type="dxa"/>
            <w:tcBorders>
              <w:bottom w:val="single" w:sz="4" w:space="0" w:color="000000"/>
            </w:tcBorders>
          </w:tcPr>
          <w:p w:rsidR="00FF0DCA" w:rsidRPr="008C7D66" w:rsidRDefault="00FF0DCA" w:rsidP="00CC7A19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22013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:rsidR="00FF0DCA" w:rsidRPr="008C7D66" w:rsidRDefault="00FF0DCA" w:rsidP="00CC7A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 xml:space="preserve">Desenvolvimento Cultural e econômico sustentável:  descentralização da cultura, Casa de cultura, Revitalização do patrimônio histórico cultural e arquitetônico Eventos artísticos culturais, Desenvolvimento do Turismo, Apoio administrativo 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Secretária de Cultura e Turismo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FF0DCA" w:rsidRPr="008C7D66" w:rsidRDefault="00FF0DCA" w:rsidP="00CC7A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D66">
              <w:rPr>
                <w:rFonts w:ascii="Arial" w:eastAsia="Arial" w:hAnsi="Arial" w:cs="Arial"/>
                <w:color w:val="000000"/>
                <w:lang w:eastAsia="pt-BR"/>
              </w:rPr>
              <w:t>Cultura</w:t>
            </w:r>
          </w:p>
        </w:tc>
      </w:tr>
    </w:tbl>
    <w:p w:rsidR="00FF0DCA" w:rsidRDefault="00FF0DCA" w:rsidP="00FF0DCA"/>
    <w:p w:rsidR="00C129B9" w:rsidRDefault="00C129B9"/>
    <w:p w:rsidR="00C129B9" w:rsidRDefault="00C129B9"/>
    <w:p w:rsidR="00C129B9" w:rsidRDefault="00C129B9"/>
    <w:p w:rsidR="00C129B9" w:rsidRDefault="00C129B9"/>
    <w:p w:rsidR="00C129B9" w:rsidRDefault="00C129B9"/>
    <w:p w:rsidR="00C129B9" w:rsidRDefault="00C129B9"/>
    <w:p w:rsidR="00C129B9" w:rsidRDefault="00C129B9"/>
    <w:p w:rsidR="00C129B9" w:rsidRDefault="00C129B9"/>
    <w:p w:rsidR="00FF0DCA" w:rsidRDefault="00FF0DCA" w:rsidP="00C129B9">
      <w:pPr>
        <w:jc w:val="both"/>
        <w:rPr>
          <w:rFonts w:ascii="Arial" w:hAnsi="Arial" w:cs="Arial"/>
          <w:b/>
          <w:sz w:val="24"/>
        </w:rPr>
      </w:pPr>
    </w:p>
    <w:p w:rsidR="00FF0DCA" w:rsidRDefault="00FF0DCA" w:rsidP="00C129B9">
      <w:pPr>
        <w:jc w:val="both"/>
        <w:rPr>
          <w:rFonts w:ascii="Arial" w:hAnsi="Arial" w:cs="Arial"/>
          <w:b/>
          <w:sz w:val="24"/>
        </w:rPr>
      </w:pPr>
    </w:p>
    <w:p w:rsidR="00C129B9" w:rsidRPr="00C129B9" w:rsidRDefault="00C129B9" w:rsidP="00C129B9">
      <w:pPr>
        <w:jc w:val="both"/>
        <w:rPr>
          <w:rFonts w:ascii="Arial" w:hAnsi="Arial" w:cs="Arial"/>
          <w:b/>
          <w:sz w:val="24"/>
        </w:rPr>
      </w:pPr>
      <w:r w:rsidRPr="00C129B9">
        <w:rPr>
          <w:rFonts w:ascii="Arial" w:hAnsi="Arial" w:cs="Arial"/>
          <w:b/>
          <w:sz w:val="24"/>
        </w:rPr>
        <w:lastRenderedPageBreak/>
        <w:t xml:space="preserve">Gráfico 1: Evolução do percentual dos orçamentos aplicados na função Cultura, 2000-2013. Fonte: </w:t>
      </w:r>
      <w:proofErr w:type="spellStart"/>
      <w:r w:rsidRPr="00C129B9">
        <w:rPr>
          <w:rFonts w:ascii="Arial" w:hAnsi="Arial" w:cs="Arial"/>
          <w:b/>
          <w:sz w:val="24"/>
        </w:rPr>
        <w:t>MinFaz</w:t>
      </w:r>
      <w:proofErr w:type="spellEnd"/>
      <w:r w:rsidRPr="00C129B9">
        <w:rPr>
          <w:rFonts w:ascii="Arial" w:hAnsi="Arial" w:cs="Arial"/>
          <w:b/>
          <w:sz w:val="24"/>
        </w:rPr>
        <w:t xml:space="preserve">/STN. Consolidação das Contas Públicas. Fonte: Álvaro </w:t>
      </w:r>
      <w:proofErr w:type="spellStart"/>
      <w:r w:rsidRPr="00C129B9">
        <w:rPr>
          <w:rFonts w:ascii="Arial" w:hAnsi="Arial" w:cs="Arial"/>
          <w:b/>
          <w:sz w:val="24"/>
        </w:rPr>
        <w:t>Santi</w:t>
      </w:r>
      <w:proofErr w:type="spellEnd"/>
      <w:r w:rsidRPr="00C129B9">
        <w:rPr>
          <w:rFonts w:ascii="Arial" w:hAnsi="Arial" w:cs="Arial"/>
          <w:b/>
          <w:sz w:val="24"/>
        </w:rPr>
        <w:t>.</w:t>
      </w:r>
    </w:p>
    <w:p w:rsidR="00C129B9" w:rsidRDefault="00C129B9">
      <w:r w:rsidRPr="008C7D66">
        <w:rPr>
          <w:rFonts w:ascii="Arial" w:hAnsi="Arial" w:cs="Arial"/>
          <w:i/>
          <w:noProof/>
          <w:sz w:val="24"/>
          <w:szCs w:val="24"/>
          <w:lang w:eastAsia="pt-BR"/>
        </w:rPr>
        <w:drawing>
          <wp:inline distT="0" distB="0" distL="0" distR="0">
            <wp:extent cx="5400040" cy="3196679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45" w:rsidRDefault="00816945" w:rsidP="00C129B9">
      <w:pPr>
        <w:jc w:val="both"/>
        <w:rPr>
          <w:rFonts w:ascii="Arial" w:hAnsi="Arial" w:cs="Arial"/>
          <w:b/>
          <w:sz w:val="24"/>
        </w:rPr>
      </w:pPr>
    </w:p>
    <w:p w:rsidR="00C129B9" w:rsidRPr="00C129B9" w:rsidRDefault="00C129B9" w:rsidP="00C129B9">
      <w:pPr>
        <w:jc w:val="both"/>
        <w:rPr>
          <w:rFonts w:ascii="Arial" w:hAnsi="Arial" w:cs="Arial"/>
          <w:b/>
          <w:sz w:val="24"/>
        </w:rPr>
      </w:pPr>
      <w:r w:rsidRPr="00C129B9">
        <w:rPr>
          <w:rFonts w:ascii="Arial" w:hAnsi="Arial" w:cs="Arial"/>
          <w:b/>
          <w:sz w:val="24"/>
        </w:rPr>
        <w:t>Gráfico 2: Comparação entre a despesa orçamentaria e despesa orçamentaria para a função cultura de 2004 a 2013 no município de Jaguarão/RS como prevê a PEC nª 150. Fonte: Tribunal de Contas do Estado do Rio Grande do Sul (TCE–RS). Elaborado pelo autor.</w:t>
      </w:r>
    </w:p>
    <w:p w:rsidR="00C129B9" w:rsidRDefault="00816945" w:rsidP="00C129B9">
      <w:r w:rsidRPr="0022096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C379A54" wp14:editId="4C2852B2">
            <wp:extent cx="5400040" cy="3276522"/>
            <wp:effectExtent l="0" t="0" r="10160" b="63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29B9" w:rsidRDefault="00C129B9" w:rsidP="00C129B9">
      <w:bookmarkStart w:id="0" w:name="_GoBack"/>
      <w:bookmarkEnd w:id="0"/>
    </w:p>
    <w:sectPr w:rsidR="00C12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6B"/>
    <w:rsid w:val="00685893"/>
    <w:rsid w:val="00816945"/>
    <w:rsid w:val="008B7A8E"/>
    <w:rsid w:val="00BC596B"/>
    <w:rsid w:val="00C129B9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4666"/>
  <w15:chartTrackingRefBased/>
  <w15:docId w15:val="{2A04482C-CD27-4A9F-B1D1-398BF92E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9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100">
                <a:solidFill>
                  <a:sysClr val="windowText" lastClr="000000"/>
                </a:solidFill>
              </a:rPr>
              <a:t>Despesa Orçamento x Despesa função cultura / PEC 150</a:t>
            </a:r>
          </a:p>
        </c:rich>
      </c:tx>
      <c:layout>
        <c:manualLayout>
          <c:xMode val="edge"/>
          <c:yMode val="edge"/>
          <c:x val="0.26789710621615337"/>
          <c:y val="3.36397041278930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Despesa Orçamentaria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'PEC 150'!$C$2:$C$11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'PEC 150'!$A$2:$A$11</c:f>
              <c:numCache>
                <c:formatCode>_("R$"* #,##0.00_);_("R$"* \(#,##0.00\);_("R$"* "-"??_);_(@_)</c:formatCode>
                <c:ptCount val="10"/>
                <c:pt idx="0">
                  <c:v>15506384.33</c:v>
                </c:pt>
                <c:pt idx="1">
                  <c:v>17422381.43</c:v>
                </c:pt>
                <c:pt idx="2">
                  <c:v>18616535.82</c:v>
                </c:pt>
                <c:pt idx="3">
                  <c:v>21486655.690000001</c:v>
                </c:pt>
                <c:pt idx="4">
                  <c:v>24745864.940000001</c:v>
                </c:pt>
                <c:pt idx="5">
                  <c:v>26926639.030000001</c:v>
                </c:pt>
                <c:pt idx="6">
                  <c:v>29008479.73</c:v>
                </c:pt>
                <c:pt idx="7">
                  <c:v>31719432.059999999</c:v>
                </c:pt>
                <c:pt idx="8">
                  <c:v>36077906.969999999</c:v>
                </c:pt>
                <c:pt idx="9">
                  <c:v>40472582.299999997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7-4162-861A-91CC89123569}"/>
            </c:ext>
          </c:extLst>
        </c:ser>
        <c:ser>
          <c:idx val="1"/>
          <c:order val="1"/>
          <c:tx>
            <c:v>Despesa função cultura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'PEC 150'!$C$2:$C$11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'PEC 150'!$B$2:$B$11</c:f>
              <c:numCache>
                <c:formatCode>_("R$"* #,##0.00_);_("R$"* \(#,##0.00\);_("R$"* "-"??_);_(@_)</c:formatCode>
                <c:ptCount val="10"/>
                <c:pt idx="0">
                  <c:v>64891.58</c:v>
                </c:pt>
                <c:pt idx="1">
                  <c:v>278391.57</c:v>
                </c:pt>
                <c:pt idx="2">
                  <c:v>335440.89</c:v>
                </c:pt>
                <c:pt idx="3">
                  <c:v>204298.74</c:v>
                </c:pt>
                <c:pt idx="4">
                  <c:v>194676.3</c:v>
                </c:pt>
                <c:pt idx="5">
                  <c:v>462367.63</c:v>
                </c:pt>
                <c:pt idx="6">
                  <c:v>645138.79</c:v>
                </c:pt>
                <c:pt idx="7">
                  <c:v>542377.14</c:v>
                </c:pt>
                <c:pt idx="8">
                  <c:v>946045.4</c:v>
                </c:pt>
                <c:pt idx="9">
                  <c:v>1275125.67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67-4162-861A-91CC89123569}"/>
            </c:ext>
          </c:extLst>
        </c:ser>
        <c:ser>
          <c:idx val="3"/>
          <c:order val="2"/>
          <c:tx>
            <c:v>PEC 150 (1%)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'PEC 150'!$C$2:$C$11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'PEC 150'!$D$2:$D$11</c:f>
              <c:numCache>
                <c:formatCode>0.00%</c:formatCode>
                <c:ptCount val="10"/>
                <c:pt idx="0">
                  <c:v>4.1848298493708238E-3</c:v>
                </c:pt>
                <c:pt idx="1">
                  <c:v>1.59789619529642E-2</c:v>
                </c:pt>
                <c:pt idx="2">
                  <c:v>1.8018437653670845E-2</c:v>
                </c:pt>
                <c:pt idx="3">
                  <c:v>9.508168369593303E-3</c:v>
                </c:pt>
                <c:pt idx="4">
                  <c:v>7.8670234591525241E-3</c:v>
                </c:pt>
                <c:pt idx="5">
                  <c:v>1.7171382937352802E-2</c:v>
                </c:pt>
                <c:pt idx="6">
                  <c:v>2.2239662195492796E-2</c:v>
                </c:pt>
                <c:pt idx="7">
                  <c:v>1.7099207166573715E-2</c:v>
                </c:pt>
                <c:pt idx="8">
                  <c:v>2.6222291686340587E-2</c:v>
                </c:pt>
                <c:pt idx="9">
                  <c:v>3.1505913325426731E-2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67-4162-861A-91CC89123569}"/>
            </c:ext>
          </c:extLst>
        </c:ser>
        <c:ser>
          <c:idx val="4"/>
          <c:order val="3"/>
          <c:tx>
            <c:v>Média Geral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'PEC 150'!$C$2:$C$11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'PEC 150'!$E$2:$E$11</c:f>
              <c:numCache>
                <c:formatCode>General</c:formatCode>
                <c:ptCount val="10"/>
                <c:pt idx="0" formatCode="0.0%">
                  <c:v>1.6979587859593834E-2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67-4162-861A-91CC89123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899136"/>
        <c:axId val="361859648"/>
      </c:barChart>
      <c:catAx>
        <c:axId val="36389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1859648"/>
        <c:crosses val="autoZero"/>
        <c:auto val="1"/>
        <c:lblAlgn val="ctr"/>
        <c:lblOffset val="100"/>
        <c:noMultiLvlLbl val="0"/>
      </c:catAx>
      <c:valAx>
        <c:axId val="36185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3899136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0.10032323949107748"/>
                <c:y val="0.20137649460484108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pt-BR" b="1">
                      <a:solidFill>
                        <a:sysClr val="windowText" lastClr="000000"/>
                      </a:solidFill>
                    </a:rPr>
                    <a:t>em R$ milhões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/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Fatia">
    <a:dk1>
      <a:sysClr val="windowText" lastClr="000000"/>
    </a:dk1>
    <a:lt1>
      <a:sysClr val="window" lastClr="FFFFFF"/>
    </a:lt1>
    <a:dk2>
      <a:srgbClr val="146194"/>
    </a:dk2>
    <a:lt2>
      <a:srgbClr val="76DBF4"/>
    </a:lt2>
    <a:accent1>
      <a:srgbClr val="052F61"/>
    </a:accent1>
    <a:accent2>
      <a:srgbClr val="A50E82"/>
    </a:accent2>
    <a:accent3>
      <a:srgbClr val="14967C"/>
    </a:accent3>
    <a:accent4>
      <a:srgbClr val="6A9E1F"/>
    </a:accent4>
    <a:accent5>
      <a:srgbClr val="E87D37"/>
    </a:accent5>
    <a:accent6>
      <a:srgbClr val="C62324"/>
    </a:accent6>
    <a:hlink>
      <a:srgbClr val="0D2E46"/>
    </a:hlink>
    <a:folHlink>
      <a:srgbClr val="356A95"/>
    </a:folHlink>
  </a:clrScheme>
  <a:fontScheme name="Fatia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Fatia">
    <a:fillStyleLst>
      <a:solidFill>
        <a:schemeClr val="phClr"/>
      </a:solidFill>
      <a:gradFill rotWithShape="1">
        <a:gsLst>
          <a:gs pos="0">
            <a:schemeClr val="phClr">
              <a:tint val="62000"/>
              <a:hueMod val="94000"/>
              <a:satMod val="140000"/>
              <a:lumMod val="110000"/>
            </a:schemeClr>
          </a:gs>
          <a:gs pos="100000">
            <a:schemeClr val="phClr">
              <a:tint val="84000"/>
              <a:satMod val="160000"/>
            </a:schemeClr>
          </a:gs>
        </a:gsLst>
        <a:lin ang="5400000" scaled="0"/>
      </a:gradFill>
      <a:gradFill rotWithShape="1">
        <a:gsLst>
          <a:gs pos="0">
            <a:schemeClr val="phClr">
              <a:tint val="98000"/>
              <a:hueMod val="94000"/>
              <a:satMod val="130000"/>
              <a:lumMod val="128000"/>
            </a:schemeClr>
          </a:gs>
          <a:gs pos="100000">
            <a:schemeClr val="phClr">
              <a:shade val="94000"/>
              <a:lumMod val="88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tint val="76000"/>
            <a:alpha val="60000"/>
            <a:hueMod val="94000"/>
          </a:schemeClr>
        </a:solidFill>
        <a:prstDash val="solid"/>
      </a:ln>
      <a:ln w="15875" cap="rnd" cmpd="sng" algn="ctr">
        <a:solidFill>
          <a:schemeClr val="phClr">
            <a:hueMod val="94000"/>
          </a:schemeClr>
        </a:solidFill>
        <a:prstDash val="solid"/>
      </a:ln>
      <a:ln w="2857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innerShdw blurRad="25400" dist="12700" dir="13500000">
            <a:srgbClr val="000000">
              <a:alpha val="45000"/>
            </a:srgbClr>
          </a:innerShdw>
        </a:effectLst>
      </a:effectStyle>
      <a:effectStyle>
        <a:effectLst>
          <a:outerShdw blurRad="50800" dist="38100" dir="5400000" rotWithShape="0">
            <a:srgbClr val="000000">
              <a:alpha val="46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 prstMaterial="plastic">
          <a:bevelT w="25400" h="25400"/>
        </a:sp3d>
      </a:effectStyle>
    </a:effectStyleLst>
    <a:bgFillStyleLst>
      <a:solidFill>
        <a:schemeClr val="phClr"/>
      </a:solidFill>
      <a:gradFill rotWithShape="1">
        <a:gsLst>
          <a:gs pos="10000">
            <a:schemeClr val="phClr">
              <a:tint val="97000"/>
              <a:hueMod val="92000"/>
              <a:satMod val="169000"/>
              <a:lumMod val="164000"/>
            </a:schemeClr>
          </a:gs>
          <a:gs pos="100000">
            <a:schemeClr val="phClr">
              <a:shade val="96000"/>
              <a:satMod val="120000"/>
              <a:lumMod val="90000"/>
            </a:schemeClr>
          </a:gs>
        </a:gsLst>
        <a:lin ang="6120000" scaled="1"/>
      </a:gradFill>
      <a:gradFill rotWithShape="1">
        <a:gsLst>
          <a:gs pos="0">
            <a:schemeClr val="phClr">
              <a:tint val="97000"/>
              <a:hueMod val="92000"/>
              <a:satMod val="169000"/>
              <a:lumMod val="164000"/>
            </a:schemeClr>
          </a:gs>
          <a:gs pos="100000">
            <a:schemeClr val="phClr">
              <a:shade val="96000"/>
              <a:satMod val="120000"/>
              <a:lumMod val="90000"/>
            </a:schemeClr>
          </a:gs>
        </a:gsLst>
        <a:path path="circle">
          <a:fillToRect b="10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Ícaro Inchauspe</dc:creator>
  <cp:keywords/>
  <dc:description/>
  <cp:lastModifiedBy>Ícaro Inchauspe</cp:lastModifiedBy>
  <cp:revision>5</cp:revision>
  <dcterms:created xsi:type="dcterms:W3CDTF">2016-07-27T23:24:00Z</dcterms:created>
  <dcterms:modified xsi:type="dcterms:W3CDTF">2016-07-28T15:07:00Z</dcterms:modified>
</cp:coreProperties>
</file>